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2023 г. № 220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февраля 2023 г. № 220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субсидии, поступающей на материально-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техническое оснащение муниципальных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общеобразовательных организаций в рамках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государственной программы Воронежской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области «Развитие образования»,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17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на материально-техническое оснащение муниципальных общеобразовательных организаций в рамках государственной программы Воронежской области «Развитие образования»,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и целевому использованию субсидии, поступающей на материально-техническое оснащение муниципальных общеобразовательных организаций в рамках государственной программы Воронежской области «Развитие образования», на 2023 год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10.02.2022 № 123 «Об утверждении Порядка расходования субсидии, поступающей на материально-техническое оснащение муниципальных общеобразовательных организаций в рамках государственной программы Воронежской области «Развитие образования» на 2022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